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82842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828421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LUND STEVEN</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NU SKIN ENTERPRISES, INC.</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75 WEST CENTER STREET</w:t>
      </w:r>
    </w:p>
    <w:p>
      <w:pPr>
        <w:spacing w:after="0" w:line="299"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Times New Roman" w:cs="Times New Roman" w:eastAsia="Times New Roman" w:hAnsi="Times New Roman"/>
                <w:sz w:val="17"/>
                <w:szCs w:val="17"/>
                <w:color w:val="0000FF"/>
              </w:rPr>
              <w:t>PROVO</w:t>
            </w:r>
          </w:p>
        </w:tc>
        <w:tc>
          <w:tcPr>
            <w:tcW w:w="114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UT</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84601</w:t>
            </w:r>
          </w:p>
        </w:tc>
      </w:tr>
      <w:tr>
        <w:trPr>
          <w:trHeight w:val="155"/>
        </w:trPr>
        <w:tc>
          <w:tcPr>
            <w:tcW w:w="40" w:type="dxa"/>
            <w:vAlign w:val="bottom"/>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(City)</w:t>
            </w:r>
          </w:p>
        </w:tc>
        <w:tc>
          <w:tcPr>
            <w:tcW w:w="1140" w:type="dxa"/>
            <w:vAlign w:val="bottom"/>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NU SKIN ENTERPRISES, INC.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NUS</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860" w:type="dxa"/>
            <w:vAlign w:val="bottom"/>
            <w:gridSpan w:val="3"/>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1860" w:type="dxa"/>
            <w:vAlign w:val="bottom"/>
            <w:gridSpan w:val="3"/>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700" w:type="dxa"/>
            <w:vAlign w:val="bottom"/>
            <w:tcBorders>
              <w:bottom w:val="single" w:sz="8" w:color="0000EE"/>
            </w:tcBorders>
          </w:tcPr>
          <w:p>
            <w:pPr>
              <w:spacing w:after="0"/>
              <w:rPr>
                <w:sz w:val="3"/>
                <w:szCs w:val="3"/>
                <w:color w:val="auto"/>
              </w:rPr>
            </w:pPr>
          </w:p>
        </w:tc>
        <w:tc>
          <w:tcPr>
            <w:tcW w:w="9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6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60" w:type="dxa"/>
            <w:vAlign w:val="bottom"/>
            <w:gridSpan w:val="2"/>
            <w:vMerge w:val="continue"/>
          </w:tcPr>
          <w:p>
            <w:pPr>
              <w:spacing w:after="0"/>
              <w:rPr>
                <w:sz w:val="15"/>
                <w:szCs w:val="15"/>
                <w:color w:val="auto"/>
              </w:rPr>
            </w:pPr>
          </w:p>
        </w:tc>
        <w:tc>
          <w:tcPr>
            <w:tcW w:w="14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270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9"/>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10"/>
                <w:szCs w:val="10"/>
                <w:color w:val="auto"/>
              </w:rPr>
            </w:pPr>
          </w:p>
        </w:tc>
        <w:tc>
          <w:tcPr>
            <w:tcW w:w="30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67"/>
        </w:trPr>
        <w:tc>
          <w:tcPr>
            <w:tcW w:w="200" w:type="dxa"/>
            <w:vAlign w:val="bottom"/>
            <w:gridSpan w:val="2"/>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3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9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06/13/2022</w:t>
            </w:r>
          </w:p>
        </w:tc>
        <w:tc>
          <w:tcPr>
            <w:tcW w:w="9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Exec. Chairman of the Board</w:t>
            </w:r>
          </w:p>
        </w:tc>
        <w:tc>
          <w:tcPr>
            <w:tcW w:w="0" w:type="dxa"/>
            <w:vAlign w:val="bottom"/>
          </w:tcPr>
          <w:p>
            <w:pPr>
              <w:spacing w:after="0"/>
              <w:rPr>
                <w:sz w:val="1"/>
                <w:szCs w:val="1"/>
                <w:color w:val="auto"/>
              </w:rPr>
            </w:pPr>
          </w:p>
        </w:tc>
      </w:tr>
      <w:tr>
        <w:trPr>
          <w:trHeight w:val="328"/>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7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69" w:lineRule="exact"/>
        <w:rPr>
          <w:sz w:val="24"/>
          <w:szCs w:val="24"/>
          <w:color w:val="auto"/>
        </w:rPr>
      </w:pPr>
    </w:p>
    <w:p>
      <w:pPr>
        <w:sectPr>
          <w:pgSz w:w="11900" w:h="16838" w:orient="portrait"/>
          <w:cols w:equalWidth="0" w:num="2">
            <w:col w:w="3760" w:space="80"/>
            <w:col w:w="7240"/>
          </w:cols>
          <w:pgMar w:left="460" w:top="219"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3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8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38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spacing w:after="0" w:line="133" w:lineRule="exact"/>
              <w:rPr>
                <w:sz w:val="20"/>
                <w:szCs w:val="20"/>
                <w:color w:val="auto"/>
              </w:rPr>
            </w:pPr>
            <w:r>
              <w:rPr>
                <w:rFonts w:ascii="Arial" w:cs="Arial" w:eastAsia="Arial" w:hAnsi="Arial"/>
                <w:sz w:val="12"/>
                <w:szCs w:val="12"/>
                <w:b w:val="1"/>
                <w:bCs w:val="1"/>
                <w:color w:val="auto"/>
              </w:rPr>
              <w:t>if any</w:t>
            </w: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80" w:type="dxa"/>
            <w:vAlign w:val="bottom"/>
            <w:gridSpan w:val="3"/>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60" w:type="dxa"/>
            <w:vAlign w:val="bottom"/>
          </w:tcPr>
          <w:p>
            <w:pPr>
              <w:spacing w:after="0"/>
              <w:rPr>
                <w:sz w:val="8"/>
                <w:szCs w:val="8"/>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SJL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06/13/2022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35,573</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gridSpan w:val="3"/>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43.75</w:t>
            </w:r>
            <w:r>
              <w:rPr>
                <w:rFonts w:ascii="Times New Roman" w:cs="Times New Roman" w:eastAsia="Times New Roman" w:hAnsi="Times New Roman"/>
                <w:sz w:val="22"/>
                <w:szCs w:val="22"/>
                <w:color w:val="008000"/>
                <w:w w:val="95"/>
                <w:vertAlign w:val="superscript"/>
              </w:rPr>
              <w:t>(2)</w:t>
            </w: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143,876</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NS-</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82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Holdings</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SJL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06/13/2022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2,927</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gridSpan w:val="3"/>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44.47</w:t>
            </w:r>
            <w:r>
              <w:rPr>
                <w:rFonts w:ascii="Times New Roman" w:cs="Times New Roman" w:eastAsia="Times New Roman" w:hAnsi="Times New Roman"/>
                <w:sz w:val="22"/>
                <w:szCs w:val="22"/>
                <w:color w:val="008000"/>
                <w:w w:val="95"/>
                <w:vertAlign w:val="superscript"/>
              </w:rPr>
              <w:t>(4)</w:t>
            </w: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140,949</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NS-</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82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Holdings</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S&amp;K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06/13/2022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11,581</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gridSpan w:val="3"/>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43.85</w:t>
            </w:r>
            <w:r>
              <w:rPr>
                <w:rFonts w:ascii="Times New Roman" w:cs="Times New Roman" w:eastAsia="Times New Roman" w:hAnsi="Times New Roman"/>
                <w:sz w:val="22"/>
                <w:szCs w:val="22"/>
                <w:color w:val="008000"/>
                <w:w w:val="95"/>
                <w:vertAlign w:val="superscript"/>
              </w:rPr>
              <w:t>(5)</w:t>
            </w: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28,419</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Rhino</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82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Company</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(6)</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S&amp;K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06/13/2022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1,219</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gridSpan w:val="3"/>
            <w:vMerge w:val="restart"/>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44.5</w:t>
            </w:r>
            <w:r>
              <w:rPr>
                <w:rFonts w:ascii="Times New Roman" w:cs="Times New Roman" w:eastAsia="Times New Roman" w:hAnsi="Times New Roman"/>
                <w:sz w:val="22"/>
                <w:szCs w:val="22"/>
                <w:color w:val="008000"/>
                <w:w w:val="92"/>
                <w:vertAlign w:val="superscript"/>
              </w:rPr>
              <w:t>(7)</w:t>
            </w: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27,200</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Rhino</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82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Company</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(6)</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SJL</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06/15/2022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195</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vMerge w:val="restart"/>
          </w:tcPr>
          <w:p>
            <w:pPr>
              <w:jc w:val="center"/>
              <w:ind w:left="227"/>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140,754</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NS-</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58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Holdings</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By S&amp;K</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64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7"/>
                <w:szCs w:val="17"/>
                <w:color w:val="0000FF"/>
              </w:rPr>
              <w:t>06/15/2022</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200</w:t>
            </w:r>
            <w:r>
              <w:rPr>
                <w:rFonts w:ascii="Times New Roman" w:cs="Times New Roman" w:eastAsia="Times New Roman" w:hAnsi="Times New Roman"/>
                <w:sz w:val="22"/>
                <w:szCs w:val="22"/>
                <w:color w:val="008000"/>
                <w:w w:val="93"/>
                <w:vertAlign w:val="superscript"/>
              </w:rPr>
              <w:t>(1)</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vMerge w:val="restart"/>
          </w:tcPr>
          <w:p>
            <w:pPr>
              <w:jc w:val="center"/>
              <w:ind w:left="227"/>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45</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27,000</w:t>
            </w:r>
          </w:p>
        </w:tc>
        <w:tc>
          <w:tcPr>
            <w:tcW w:w="280" w:type="dxa"/>
            <w:vAlign w:val="bottom"/>
          </w:tcPr>
          <w:p>
            <w:pPr>
              <w:spacing w:after="0"/>
              <w:rPr>
                <w:sz w:val="18"/>
                <w:szCs w:val="18"/>
                <w:color w:val="auto"/>
              </w:rPr>
            </w:pPr>
          </w:p>
        </w:tc>
        <w:tc>
          <w:tcPr>
            <w:tcW w:w="660" w:type="dxa"/>
            <w:vAlign w:val="bottom"/>
            <w:vMerge w:val="restart"/>
          </w:tcPr>
          <w:p>
            <w:pPr>
              <w:jc w:val="center"/>
              <w:ind w:right="287"/>
              <w:spacing w:after="0"/>
              <w:rPr>
                <w:sz w:val="20"/>
                <w:szCs w:val="20"/>
                <w:color w:val="auto"/>
              </w:rPr>
            </w:pPr>
            <w:r>
              <w:rPr>
                <w:rFonts w:ascii="Times New Roman" w:cs="Times New Roman" w:eastAsia="Times New Roman" w:hAnsi="Times New Roman"/>
                <w:sz w:val="17"/>
                <w:szCs w:val="17"/>
                <w:color w:val="0000FF"/>
              </w:rPr>
              <w:t>I</w:t>
            </w:r>
          </w:p>
        </w:tc>
        <w:tc>
          <w:tcPr>
            <w:tcW w:w="88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Rhino</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3"/>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780" w:type="dxa"/>
            <w:vAlign w:val="bottom"/>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58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880" w:type="dxa"/>
            <w:vAlign w:val="bottom"/>
            <w:gridSpan w:val="3"/>
            <w:vMerge w:val="restart"/>
          </w:tcPr>
          <w:p>
            <w:pPr>
              <w:ind w:left="20"/>
              <w:spacing w:after="0"/>
              <w:rPr>
                <w:sz w:val="20"/>
                <w:szCs w:val="20"/>
                <w:color w:val="auto"/>
              </w:rPr>
            </w:pPr>
            <w:r>
              <w:rPr>
                <w:rFonts w:ascii="Times New Roman" w:cs="Times New Roman" w:eastAsia="Times New Roman" w:hAnsi="Times New Roman"/>
                <w:sz w:val="17"/>
                <w:szCs w:val="17"/>
                <w:color w:val="0000FF"/>
              </w:rPr>
              <w:t>Company</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4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8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3"/>
          </w:tcPr>
          <w:p>
            <w:pPr>
              <w:ind w:left="20"/>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(6)</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720" w:type="dxa"/>
            <w:vAlign w:val="bottom"/>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jc w:val="right"/>
              <w:ind w:right="1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08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267"/>
              <w:spacing w:after="0"/>
              <w:rPr>
                <w:sz w:val="20"/>
                <w:szCs w:val="20"/>
                <w:color w:val="auto"/>
              </w:rPr>
            </w:pPr>
            <w:r>
              <w:rPr>
                <w:rFonts w:ascii="Arial" w:cs="Arial" w:eastAsia="Arial" w:hAnsi="Arial"/>
                <w:sz w:val="12"/>
                <w:szCs w:val="12"/>
                <w:b w:val="1"/>
                <w:bCs w:val="1"/>
                <w:color w:val="auto"/>
                <w:w w:val="95"/>
              </w:rPr>
              <w:t>10.</w:t>
            </w:r>
          </w:p>
        </w:tc>
        <w:tc>
          <w:tcPr>
            <w:tcW w:w="880" w:type="dxa"/>
            <w:vAlign w:val="bottom"/>
            <w:tcBorders>
              <w:right w:val="single" w:sz="8" w:color="2C2C2C"/>
            </w:tcBorders>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80" w:type="dxa"/>
            <w:vAlign w:val="bottom"/>
            <w:tcBorders>
              <w:right w:val="single" w:sz="8" w:color="2C2C2C"/>
            </w:tcBorders>
            <w:gridSpan w:val="3"/>
          </w:tcPr>
          <w:p>
            <w:pPr>
              <w:ind w:left="1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jc w:val="right"/>
              <w:ind w:right="14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80" w:type="dxa"/>
            <w:vAlign w:val="bottom"/>
            <w:tcBorders>
              <w:right w:val="single" w:sz="8" w:color="2C2C2C"/>
            </w:tcBorders>
            <w:gridSpan w:val="3"/>
          </w:tcPr>
          <w:p>
            <w:pPr>
              <w:ind w:left="1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or Indirect</w:t>
            </w:r>
          </w:p>
        </w:tc>
        <w:tc>
          <w:tcPr>
            <w:tcW w:w="880" w:type="dxa"/>
            <w:vAlign w:val="bottom"/>
            <w:tcBorders>
              <w:right w:val="single" w:sz="8" w:color="2C2C2C"/>
            </w:tcBorders>
            <w:gridSpan w:val="3"/>
          </w:tcPr>
          <w:p>
            <w:pPr>
              <w:ind w:left="1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Security (Instr.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Sale pursuant to a Rule 10b5-1 plan.</w:t>
      </w:r>
    </w:p>
    <w:p>
      <w:pPr>
        <w:spacing w:after="0" w:line="50" w:lineRule="exact"/>
        <w:rPr>
          <w:rFonts w:ascii="Times New Roman" w:cs="Times New Roman" w:eastAsia="Times New Roman" w:hAnsi="Times New Roman"/>
          <w:sz w:val="13"/>
          <w:szCs w:val="13"/>
          <w:color w:val="008000"/>
        </w:rPr>
      </w:pPr>
    </w:p>
    <w:p>
      <w:pPr>
        <w:ind w:left="40" w:right="36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$43.32 to $44.31, inclusive. The Reporting Person undertakes to provide to the Issuer, any security holder of the Issuer, or the staff of the Securities and Exchange Commission, upon request, full information regarding the number of shares sold at each separate price within this range.</w:t>
      </w:r>
    </w:p>
    <w:p>
      <w:pPr>
        <w:spacing w:after="0" w:line="2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SJL NS-Holdings is a family limited liability company which is owned and controlled by the Reporting Person and his immediate family.</w:t>
      </w:r>
    </w:p>
    <w:p>
      <w:pPr>
        <w:spacing w:after="0" w:line="50" w:lineRule="exact"/>
        <w:rPr>
          <w:rFonts w:ascii="Times New Roman" w:cs="Times New Roman" w:eastAsia="Times New Roman" w:hAnsi="Times New Roman"/>
          <w:sz w:val="13"/>
          <w:szCs w:val="13"/>
          <w:color w:val="008000"/>
        </w:rPr>
      </w:pPr>
    </w:p>
    <w:p>
      <w:pPr>
        <w:ind w:left="40" w:right="360" w:firstLine="7"/>
        <w:spacing w:after="0" w:line="253"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$44.32 to $44.63, inclusive. The Reporting Person undertakes to provide to the Issuer, any security holder of the Issuer, or the staff of the Securities and Exchange Commission, upon request, full information regarding the number of shares sold at each separate price within this range.</w:t>
      </w:r>
    </w:p>
    <w:p>
      <w:pPr>
        <w:sectPr>
          <w:pgSz w:w="11900" w:h="16838" w:orient="portrait"/>
          <w:cols w:equalWidth="0" w:num="1">
            <w:col w:w="11080"/>
          </w:cols>
          <w:pgMar w:left="460" w:top="219" w:right="359" w:bottom="0" w:gutter="0" w:footer="0" w:header="0"/>
          <w:type w:val="continuous"/>
        </w:sectPr>
      </w:pPr>
    </w:p>
    <w:bookmarkStart w:id="1" w:name="page2"/>
    <w:bookmarkEnd w:id="1"/>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$43.38 to $44.37, inclusive. The Reporting Person undertakes to provide to the Issuer, any security holder of the Issuer, or the staff of the Securities and Exchange Commission, upon request, full information regarding the number of shares sold at each separate price within this range.</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report should not be deemed an admission that the Reporting Person is the beneficial owner of such securities for purpose of Section 16 or for any other purpose.</w:t>
      </w:r>
    </w:p>
    <w:p>
      <w:pPr>
        <w:spacing w:after="0" w:line="50" w:lineRule="exact"/>
        <w:rPr>
          <w:rFonts w:ascii="Times New Roman" w:cs="Times New Roman" w:eastAsia="Times New Roman" w:hAnsi="Times New Roman"/>
          <w:sz w:val="13"/>
          <w:szCs w:val="13"/>
          <w:color w:val="008000"/>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$44.39 to $44.90, inclusive. The Reporting Person undertakes to provide to the Issuer, any security holder of the Issuer, or the staff of the Securities and Exchange Commission, upon request, full information regarding the number of shares sold at each separate price within this range.</w:t>
      </w:r>
    </w:p>
    <w:p>
      <w:pPr>
        <w:spacing w:after="0" w:line="4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/s/Gregory Belliston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0140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14095"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Attorney-in-Fact for Steven J.  06/15/2022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2324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32410" cy="8255"/>
                    </a:xfrm>
                    <a:prstGeom prst="rect">
                      <a:avLst/>
                    </a:prstGeom>
                    <a:noFill/>
                  </pic:spPr>
                </pic:pic>
              </a:graphicData>
            </a:graphic>
          </wp:anchor>
        </w:drawing>
      </w:r>
    </w:p>
    <w:p>
      <w:pPr>
        <w:spacing w:after="0" w:line="40"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98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680"/>
      </w:cols>
      <w:pgMar w:left="500" w:top="127" w:right="7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5"/>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033942" TargetMode="External"/><Relationship Id="rId13" Type="http://schemas.openxmlformats.org/officeDocument/2006/relationships/hyperlink" Target="http://www.sec.gov/cgi-bin/browse-edgar?action=getcompany&amp;CIK=000102156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2022-06-15T17:36:07Z</dcterms:created>
  <dcterms:modified xsi:type="dcterms:W3CDTF">2022-06-15T17:36:07Z</dcterms:modified>
</cp:coreProperties>
</file>